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C" w:rsidRPr="00420044" w:rsidRDefault="0017217C" w:rsidP="0017217C">
      <w:pPr>
        <w:autoSpaceDE w:val="0"/>
        <w:autoSpaceDN w:val="0"/>
        <w:adjustRightInd w:val="0"/>
        <w:jc w:val="right"/>
      </w:pPr>
      <w:r w:rsidRPr="00420044">
        <w:t>(форма</w:t>
      </w:r>
      <w:r>
        <w:t xml:space="preserve"> №2</w:t>
      </w:r>
      <w:r w:rsidRPr="00420044">
        <w:t>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Администрацию Краснополянского сельского поселения</w:t>
      </w:r>
    </w:p>
    <w:p w:rsidR="0017217C" w:rsidRPr="004F064D" w:rsidRDefault="0017217C" w:rsidP="0017217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17217C" w:rsidRPr="004F064D" w:rsidRDefault="0017217C" w:rsidP="0017217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характера </w:t>
      </w:r>
      <w:r>
        <w:rPr>
          <w:rFonts w:ascii="Courier New" w:hAnsi="Courier New" w:cs="Courier New"/>
          <w:sz w:val="20"/>
          <w:szCs w:val="20"/>
        </w:rPr>
        <w:t xml:space="preserve">руководителя муниципального </w:t>
      </w:r>
      <w:r w:rsidRPr="004F064D">
        <w:rPr>
          <w:rFonts w:ascii="Courier New" w:hAnsi="Courier New" w:cs="Courier New"/>
          <w:sz w:val="20"/>
          <w:szCs w:val="20"/>
        </w:rPr>
        <w:t>учреждения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(фамилия, имя, отчество, дата рождения)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 (адрес места жительства)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сообщаю  сведения о своих доходах за  отчетный  период  с 1  января 20__ г.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по 31 декабря 20__ г., об имуществе, о вкладах в банках, ценных бумагах,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имущественного  характера  по  состоянию на конец отчетного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периода (на отчетную дату):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Раздел 1. Сведения о доходах </w:t>
      </w:r>
      <w:hyperlink w:anchor="Par130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N │                  Вид дохода                   │ Величина дохода </w:t>
      </w:r>
      <w:hyperlink w:anchor="Par132" w:history="1">
        <w:r w:rsidRPr="004F064D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            │      (рублей)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1.  Доход по основному месту работы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2.  Доход от педагогической деятельности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3.  Доход от научной деятельности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4.  Доход от иной творческой деятельности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5.  Доход от вкладов в банках и иных кредитных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6.  Доход от ценных бумаг и долей участия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коммерческих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7.  Иные доходы (указать вид дохода):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         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8.  Итого доход за отчетный период                 │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доходы  (включая  пенсии,  пособия и иные выплаты) за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отчетный период.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N │ Вид и наименование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собственности│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Место нахождения │  Площадь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имущества      │       </w:t>
      </w:r>
      <w:hyperlink w:anchor="Par198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    │     (адрес)      │    (кв.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метров)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1.  Земельные участки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</w:t>
      </w:r>
      <w:hyperlink w:anchor="Par203" w:history="1">
        <w:r w:rsidRPr="004F064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: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2.  Жилые дома: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3.  Квартиры: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4.  Дачи: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5.  Гаражи: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6.  Иное недвижимое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имущество: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3)  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──────────────────────────┴─────────────────┴──────────────────┴───────────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указывается  доля 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жилищное строительство,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дачный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, садовый, приусадебный, огородный и др.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  │      Место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транспортного средства    │         </w:t>
      </w:r>
      <w:hyperlink w:anchor="Par265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средства: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lastRenderedPageBreak/>
        <w:t>собственности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указывается  доля 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Раздел 3. Сведения о денежных средствах, находящихся  на  счетах  в  банках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 банка или иной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Вид и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валюта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289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открытия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Остаток на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счете </w:t>
            </w:r>
            <w:hyperlink w:anchor="Par291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(рублей)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др.) и валюта счета.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4. Сведения о ценных бумагах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4.1. Акции и иное участие в коммерческих организациях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организационно-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w:anchor="Par319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Место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нахождения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3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Доля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7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Основание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30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5.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кооператив и др.).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акций.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основание  приобретения  доли  участия (учредительный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4.2. Иные ценные бумаги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Вид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ценной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бумаги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65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выпустившее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Номинальная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величина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обязательства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Общая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68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4.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5.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6.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Итого   по   </w:t>
      </w:r>
      <w:hyperlink w:anchor="Par295" w:history="1">
        <w:r w:rsidRPr="004F064D">
          <w:rPr>
            <w:rFonts w:ascii="Courier New" w:hAnsi="Courier New" w:cs="Courier New"/>
            <w:sz w:val="20"/>
            <w:szCs w:val="20"/>
          </w:rPr>
          <w:t>разделу   4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"Сведения    о    ценных    бумагах"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(рублей),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за  исключением  акций,  указанных в </w:t>
      </w:r>
      <w:hyperlink w:anchor="Par297" w:history="1">
        <w:r w:rsidRPr="004F064D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"Акции и иное участие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коммерческих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".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отчетную дату.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5. Сведения об обязательствах имущественного характера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4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560"/>
        <w:gridCol w:w="2040"/>
        <w:gridCol w:w="2040"/>
        <w:gridCol w:w="1800"/>
        <w:gridCol w:w="960"/>
        <w:gridCol w:w="720"/>
      </w:tblGrid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Вид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имущества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r:id="rId6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Площадь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(кв.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метров)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дом, дача и др.).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предоставление  и  др.),  а  также реквизиты (дата, номер)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договора или акта.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5.2. Прочие обязательства </w:t>
      </w:r>
      <w:hyperlink r:id="rId8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Содержание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обязательства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1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2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Условия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обязательства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3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17C" w:rsidRPr="004F064D" w:rsidTr="003D0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7217C" w:rsidRPr="004F064D" w:rsidRDefault="0017217C" w:rsidP="003D08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"__" _____________ 20__ г.    _____________________________________________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(подпись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</w:t>
      </w:r>
      <w:r>
        <w:rPr>
          <w:rFonts w:ascii="Courier New" w:hAnsi="Courier New" w:cs="Courier New"/>
          <w:sz w:val="20"/>
          <w:szCs w:val="20"/>
        </w:rPr>
        <w:t>)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217C" w:rsidRPr="004F064D" w:rsidRDefault="0017217C" w:rsidP="001721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7217C" w:rsidRPr="004F064D" w:rsidRDefault="0017217C" w:rsidP="00172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64D">
        <w:rPr>
          <w:sz w:val="28"/>
          <w:szCs w:val="28"/>
        </w:rPr>
        <w:lastRenderedPageBreak/>
        <w:t>--------------------------------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существо обязательства (заем, кредит и др.).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7217C" w:rsidRPr="004F064D" w:rsidRDefault="0017217C" w:rsidP="001721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&lt;5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C5082" w:rsidRDefault="0017217C" w:rsidP="0017217C">
      <w:r w:rsidRPr="004F064D">
        <w:rPr>
          <w:sz w:val="20"/>
          <w:szCs w:val="20"/>
        </w:rPr>
        <w:t>&lt;6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5C5082" w:rsidSect="005C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7C"/>
    <w:rsid w:val="0017217C"/>
    <w:rsid w:val="005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F62D35DD9C2C4176396C48F027533C2408B8502B8B6BF2D2D3249C2ADDEF55r7N" TargetMode="External"/><Relationship Id="rId13" Type="http://schemas.openxmlformats.org/officeDocument/2006/relationships/hyperlink" Target="consultantplus://offline/ref=0CC97BC21BB0D8BB618EF62D35DD9C2C4176396C48F027533C2408B8502B8B6BF2D2D3249C2ADDEF55r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C97BC21BB0D8BB618EF62D35DD9C2C4176396C48F027533C2408B8502B8B6BF2D2D3249C2ADDEC55r6N" TargetMode="External"/><Relationship Id="rId12" Type="http://schemas.openxmlformats.org/officeDocument/2006/relationships/hyperlink" Target="consultantplus://offline/ref=0CC97BC21BB0D8BB618EF62D35DD9C2C4176396C48F027533C2408B8502B8B6BF2D2D3249C2ADDEF55r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97BC21BB0D8BB618EF62D35DD9C2C4176396C48F027533C2408B8502B8B6BF2D2D3249C2ADDEC55r7N" TargetMode="External"/><Relationship Id="rId11" Type="http://schemas.openxmlformats.org/officeDocument/2006/relationships/hyperlink" Target="consultantplus://offline/ref=0CC97BC21BB0D8BB618EF62D35DD9C2C4176396C48F027533C2408B8502B8B6BF2D2D3249C2ADDEF55r4N" TargetMode="External"/><Relationship Id="rId5" Type="http://schemas.openxmlformats.org/officeDocument/2006/relationships/hyperlink" Target="consultantplus://offline/ref=0CC97BC21BB0D8BB618EF62D35DD9C2C4176396C48F027533C2408B8502B8B6BF2D2D3249C2ADDED55r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C97BC21BB0D8BB618EF62D35DD9C2C4176396C48F027533C2408B8502B8B6BF2D2D3249C2ADDEF55r5N" TargetMode="External"/><Relationship Id="rId4" Type="http://schemas.openxmlformats.org/officeDocument/2006/relationships/hyperlink" Target="consultantplus://offline/ref=0CC97BC21BB0D8BB618EF62D35DD9C2C4176396C48F027533C2408B8502B8B6BF2D2D3249C2ADDED55rFN" TargetMode="External"/><Relationship Id="rId9" Type="http://schemas.openxmlformats.org/officeDocument/2006/relationships/hyperlink" Target="consultantplus://offline/ref=0CC97BC21BB0D8BB618EF62D35DD9C2C4176396C48F027533C2408B8502B8B6BF2D2D3249C2ADDEF55r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2878</Words>
  <Characters>16409</Characters>
  <Application>Microsoft Office Word</Application>
  <DocSecurity>0</DocSecurity>
  <Lines>136</Lines>
  <Paragraphs>38</Paragraphs>
  <ScaleCrop>false</ScaleCrop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2016-03-16T06:55:00Z</dcterms:created>
  <dcterms:modified xsi:type="dcterms:W3CDTF">2016-03-16T06:56:00Z</dcterms:modified>
</cp:coreProperties>
</file>